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30" w:rsidRPr="0091188F" w:rsidRDefault="00AB7530" w:rsidP="00AB7530">
      <w:pPr>
        <w:pStyle w:val="Heading1"/>
        <w:rPr>
          <w:lang w:val="es-ES"/>
        </w:rPr>
      </w:pPr>
      <w:r>
        <w:rPr>
          <w:lang w:val="es"/>
        </w:rPr>
        <w:t>Afrontar el reto de aligerar la carga de enfermedad: las opciones para los farmacéuticos de hospital</w:t>
      </w:r>
    </w:p>
    <w:p w:rsidR="00AB7530" w:rsidRPr="0091188F" w:rsidRDefault="00AB7530" w:rsidP="00AB7530">
      <w:pPr>
        <w:spacing w:before="3" w:line="130" w:lineRule="exact"/>
        <w:rPr>
          <w:sz w:val="13"/>
          <w:szCs w:val="13"/>
          <w:lang w:val="es-ES"/>
        </w:rPr>
      </w:pPr>
    </w:p>
    <w:p w:rsidR="00AB7530" w:rsidRPr="0091188F" w:rsidRDefault="00AB7530" w:rsidP="00AB7530">
      <w:pPr>
        <w:spacing w:line="200" w:lineRule="exact"/>
        <w:rPr>
          <w:sz w:val="20"/>
          <w:szCs w:val="20"/>
          <w:lang w:val="es-ES"/>
        </w:rPr>
      </w:pPr>
    </w:p>
    <w:p w:rsidR="00AB7530" w:rsidRPr="00607790" w:rsidRDefault="00AB7530" w:rsidP="00AB7530">
      <w:pPr>
        <w:spacing w:line="275" w:lineRule="auto"/>
        <w:ind w:left="112" w:right="496"/>
        <w:rPr>
          <w:rFonts w:ascii="Arial" w:eastAsia="Arial" w:hAnsi="Arial" w:cs="Arial"/>
          <w:i/>
          <w:lang w:val="es"/>
        </w:rPr>
      </w:pPr>
      <w:r>
        <w:rPr>
          <w:rFonts w:ascii="Arial" w:eastAsia="Arial" w:hAnsi="Arial" w:cs="Arial"/>
          <w:i/>
          <w:iCs/>
          <w:lang w:val="es"/>
        </w:rPr>
        <w:t xml:space="preserve">¿Qué nos ofrece el Congreso Mundial de Farmacia y Ciencias Farmacéuticas de este año? La Federación </w:t>
      </w:r>
      <w:r w:rsidR="0091188F">
        <w:rPr>
          <w:rFonts w:ascii="Arial" w:eastAsia="Arial" w:hAnsi="Arial" w:cs="Arial"/>
          <w:i/>
          <w:iCs/>
          <w:lang w:val="es"/>
        </w:rPr>
        <w:t xml:space="preserve">Internacional </w:t>
      </w:r>
      <w:r>
        <w:rPr>
          <w:rFonts w:ascii="Arial" w:eastAsia="Arial" w:hAnsi="Arial" w:cs="Arial"/>
          <w:i/>
          <w:iCs/>
          <w:lang w:val="es"/>
        </w:rPr>
        <w:t>Farmacéutica (FIP) ofreció un avance del programa a un farmacéutico de hospital. Esto es lo que piensa.</w:t>
      </w:r>
    </w:p>
    <w:p w:rsidR="00AB7530" w:rsidRPr="00607790" w:rsidRDefault="00AB7530" w:rsidP="00AB7530">
      <w:pPr>
        <w:spacing w:before="7" w:line="100" w:lineRule="exact"/>
        <w:rPr>
          <w:sz w:val="10"/>
          <w:szCs w:val="10"/>
          <w:lang w:val="es"/>
        </w:rPr>
      </w:pPr>
    </w:p>
    <w:p w:rsidR="00AB7530" w:rsidRPr="00607790" w:rsidRDefault="00AB7530" w:rsidP="00AB7530">
      <w:pPr>
        <w:spacing w:line="200" w:lineRule="exact"/>
        <w:rPr>
          <w:sz w:val="20"/>
          <w:szCs w:val="20"/>
          <w:lang w:val="es"/>
        </w:rPr>
      </w:pPr>
    </w:p>
    <w:p w:rsidR="00AB7530" w:rsidRPr="00607790" w:rsidRDefault="00AB7530" w:rsidP="00AB7530">
      <w:pPr>
        <w:spacing w:line="200" w:lineRule="exact"/>
        <w:rPr>
          <w:sz w:val="20"/>
          <w:szCs w:val="20"/>
          <w:lang w:val="es"/>
        </w:rPr>
      </w:pPr>
    </w:p>
    <w:p w:rsidR="00AB7530" w:rsidRPr="0091188F" w:rsidRDefault="00AB7530" w:rsidP="00AB7530">
      <w:pPr>
        <w:pStyle w:val="BodyText"/>
        <w:ind w:right="445"/>
        <w:rPr>
          <w:lang w:val="es-ES"/>
        </w:rPr>
      </w:pPr>
      <w:r>
        <w:rPr>
          <w:lang w:val="es"/>
        </w:rPr>
        <w:t xml:space="preserve">Cuando salga el sol de finales de agosto en Argentina este año, no solo habrá clases de tango para mantener a los visitantes entretenidos en Buenos Aires. </w:t>
      </w:r>
      <w:r w:rsidR="0091188F">
        <w:rPr>
          <w:lang w:val="es"/>
        </w:rPr>
        <w:t>El congreso</w:t>
      </w:r>
      <w:r>
        <w:rPr>
          <w:lang w:val="es"/>
        </w:rPr>
        <w:t xml:space="preserve"> de la FIP llega a la ciudad el 27 de agosto y su programa está repleto de contenido de interés para el farmacéutico de hospital.</w:t>
      </w:r>
    </w:p>
    <w:p w:rsidR="00AB7530" w:rsidRPr="0091188F" w:rsidRDefault="00AB7530" w:rsidP="00AB7530">
      <w:pPr>
        <w:spacing w:before="13" w:line="240" w:lineRule="exact"/>
        <w:rPr>
          <w:sz w:val="24"/>
          <w:szCs w:val="24"/>
          <w:lang w:val="es-ES"/>
        </w:rPr>
      </w:pPr>
    </w:p>
    <w:p w:rsidR="00AB7530" w:rsidRPr="0091188F" w:rsidRDefault="00AB7530" w:rsidP="00AB7530">
      <w:pPr>
        <w:pStyle w:val="BodyText"/>
        <w:ind w:right="116"/>
        <w:rPr>
          <w:lang w:val="es-ES"/>
        </w:rPr>
      </w:pPr>
      <w:r>
        <w:rPr>
          <w:lang w:val="es"/>
        </w:rPr>
        <w:t xml:space="preserve">Estamos viendo como más gente vive más tiempo y con un creciente número de afecciones a largo plazo. También estamos viendo como más gente tiene que ingresar en hospitales para conseguir que se les traten las exacerbaciones de esas afecciones. Pero la capacidad de los hospitales tiene sus límites y tanto si usted trabaja en una farmacia de hospital, una farmacia comunitaria o en </w:t>
      </w:r>
      <w:r w:rsidR="0091188F">
        <w:rPr>
          <w:lang w:val="es"/>
        </w:rPr>
        <w:t xml:space="preserve">la industria </w:t>
      </w:r>
      <w:r>
        <w:rPr>
          <w:lang w:val="es"/>
        </w:rPr>
        <w:t>farmacéutic</w:t>
      </w:r>
      <w:r w:rsidR="0091188F">
        <w:rPr>
          <w:lang w:val="es"/>
        </w:rPr>
        <w:t>a</w:t>
      </w:r>
      <w:r>
        <w:rPr>
          <w:lang w:val="es"/>
        </w:rPr>
        <w:t>, deberíamos todos trabajar para descubrir formas de mantener a la gente fuera del hospital y no solo de tratarla una vez que está dentro. Con el lema "</w:t>
      </w:r>
      <w:r w:rsidR="0091188F">
        <w:rPr>
          <w:lang w:val="es"/>
        </w:rPr>
        <w:t>R</w:t>
      </w:r>
      <w:r>
        <w:rPr>
          <w:lang w:val="es"/>
        </w:rPr>
        <w:t>educir la carga mundial de enfermedad</w:t>
      </w:r>
      <w:r w:rsidR="0091188F">
        <w:rPr>
          <w:lang w:val="es"/>
        </w:rPr>
        <w:t>: Responder al desafío</w:t>
      </w:r>
      <w:r>
        <w:rPr>
          <w:lang w:val="es"/>
        </w:rPr>
        <w:t xml:space="preserve">", </w:t>
      </w:r>
      <w:r w:rsidR="0091188F">
        <w:rPr>
          <w:lang w:val="es"/>
        </w:rPr>
        <w:t>el congreso</w:t>
      </w:r>
      <w:r>
        <w:rPr>
          <w:lang w:val="es"/>
        </w:rPr>
        <w:t xml:space="preserve"> de la FIP de este año ofrecerá con toda seguridad al menos algo de inspiración.</w:t>
      </w:r>
    </w:p>
    <w:p w:rsidR="00AB7530" w:rsidRPr="0091188F" w:rsidRDefault="00AB7530" w:rsidP="00AB7530">
      <w:pPr>
        <w:spacing w:before="11" w:line="240" w:lineRule="exact"/>
        <w:rPr>
          <w:sz w:val="24"/>
          <w:szCs w:val="24"/>
          <w:lang w:val="es-ES"/>
        </w:rPr>
      </w:pPr>
    </w:p>
    <w:p w:rsidR="00AB7530" w:rsidRPr="00607790" w:rsidRDefault="00AB7530" w:rsidP="00AB7530">
      <w:pPr>
        <w:pStyle w:val="Heading1"/>
        <w:rPr>
          <w:lang w:val="it-IT"/>
        </w:rPr>
      </w:pPr>
      <w:r>
        <w:rPr>
          <w:lang w:val="es"/>
        </w:rPr>
        <w:t xml:space="preserve">La marihuana medicinal, </w:t>
      </w:r>
      <w:r w:rsidR="0091188F">
        <w:rPr>
          <w:lang w:val="es"/>
        </w:rPr>
        <w:t xml:space="preserve">la adherencia terapéutica </w:t>
      </w:r>
      <w:r>
        <w:rPr>
          <w:lang w:val="es"/>
        </w:rPr>
        <w:t>y la tecnología</w:t>
      </w:r>
    </w:p>
    <w:p w:rsidR="00AB7530" w:rsidRPr="0091188F" w:rsidRDefault="00AB7530" w:rsidP="00AB7530">
      <w:pPr>
        <w:pStyle w:val="BodyText"/>
        <w:spacing w:before="4" w:line="239" w:lineRule="auto"/>
        <w:ind w:right="125"/>
        <w:rPr>
          <w:lang w:val="es-ES"/>
        </w:rPr>
      </w:pPr>
      <w:r>
        <w:rPr>
          <w:lang w:val="es"/>
        </w:rPr>
        <w:t xml:space="preserve">La oportunidad de informarse acerca de la marihuana medicinal probablemente llame la atención de muchos. Los pacientes con dolor crónico severo pueden presentarse en cualquier momento en cualquier sala de hospital y son notoriamente difíciles de atender. Al fin y al cabo, los analgésicos opiáceos no están exentos de problemas. Así que aprender acerca de las últimas novedades en los opiáceos no narcóticos y los agentes ahorradores de opiáceos permitirá ayudar a algunos de los pacientes más </w:t>
      </w:r>
      <w:r w:rsidR="0091188F">
        <w:rPr>
          <w:lang w:val="es"/>
        </w:rPr>
        <w:t>complejos</w:t>
      </w:r>
      <w:r>
        <w:rPr>
          <w:lang w:val="es"/>
        </w:rPr>
        <w:t>.</w:t>
      </w:r>
    </w:p>
    <w:p w:rsidR="00AB7530" w:rsidRPr="0091188F" w:rsidRDefault="00AB7530" w:rsidP="00AB7530">
      <w:pPr>
        <w:spacing w:before="13" w:line="240" w:lineRule="exact"/>
        <w:rPr>
          <w:sz w:val="24"/>
          <w:szCs w:val="24"/>
          <w:lang w:val="es-ES"/>
        </w:rPr>
      </w:pPr>
    </w:p>
    <w:p w:rsidR="00AB7530" w:rsidRPr="0091188F" w:rsidRDefault="00AB7530" w:rsidP="00AB7530">
      <w:pPr>
        <w:pStyle w:val="BodyText"/>
        <w:ind w:right="105"/>
        <w:rPr>
          <w:lang w:val="es-ES"/>
        </w:rPr>
      </w:pPr>
      <w:r>
        <w:rPr>
          <w:lang w:val="es"/>
        </w:rPr>
        <w:t>El incumplimiento de los tratamientos médicos es un problema en todo el mundo y sus causas constituyen un problema que es preciso que aborden los farmacéuticos en todos los continentes. Un tema clave que se tratará en varias de las sesiones de la conferencia es el uso de las diferen</w:t>
      </w:r>
      <w:bookmarkStart w:id="0" w:name="_GoBack"/>
      <w:bookmarkEnd w:id="0"/>
      <w:r>
        <w:rPr>
          <w:lang w:val="es"/>
        </w:rPr>
        <w:t xml:space="preserve">tes tecnologías y técnicas para involucrar a los pacientes y mejorar </w:t>
      </w:r>
      <w:r w:rsidR="0091188F">
        <w:rPr>
          <w:lang w:val="es"/>
        </w:rPr>
        <w:t>su adherencia</w:t>
      </w:r>
      <w:r>
        <w:rPr>
          <w:lang w:val="es"/>
        </w:rPr>
        <w:t xml:space="preserve"> </w:t>
      </w:r>
      <w:r w:rsidR="0091188F">
        <w:rPr>
          <w:lang w:val="es"/>
        </w:rPr>
        <w:t xml:space="preserve">a </w:t>
      </w:r>
      <w:r>
        <w:rPr>
          <w:lang w:val="es"/>
        </w:rPr>
        <w:t xml:space="preserve">los tratamientos. Aumentar la predisposición de las personas para cuidar de su propia salud puede hacer que sean más conocedoras de las opciones de tratamiento disponibles cuando la mala salud les acose. Los pacientes mejor informados pueden ser más fáciles de involucrar en la toma de decisiones sobre el tratamiento y estas decisiones compartidas pueden dar lugar a mayores tasas de </w:t>
      </w:r>
      <w:r w:rsidR="0091188F">
        <w:rPr>
          <w:lang w:val="es"/>
        </w:rPr>
        <w:t>adherencia</w:t>
      </w:r>
      <w:r>
        <w:rPr>
          <w:lang w:val="es"/>
        </w:rPr>
        <w:t>. Espero con interés la oportunidad de aprender sobre los métodos para facilitar la implicación del paciente en la gestión de la salud y la enfermedad en la sesión titulada "Tecnología para involucrar a los pacientes".</w:t>
      </w:r>
    </w:p>
    <w:p w:rsidR="00AB7530" w:rsidRPr="0091188F" w:rsidRDefault="00AB7530" w:rsidP="00AB7530">
      <w:pPr>
        <w:spacing w:before="13" w:line="240" w:lineRule="exact"/>
        <w:rPr>
          <w:sz w:val="24"/>
          <w:szCs w:val="24"/>
          <w:lang w:val="es-ES"/>
        </w:rPr>
      </w:pPr>
    </w:p>
    <w:p w:rsidR="00AB7530" w:rsidRPr="0091188F" w:rsidRDefault="00AB7530" w:rsidP="00AB7530">
      <w:pPr>
        <w:pStyle w:val="BodyText"/>
        <w:ind w:right="125"/>
        <w:rPr>
          <w:lang w:val="es-ES"/>
        </w:rPr>
      </w:pPr>
      <w:r>
        <w:rPr>
          <w:lang w:val="es"/>
        </w:rPr>
        <w:t xml:space="preserve">En cuanto a aquellos pacientes para los que un mayor grado de conocimiento no es posible ni suficiente para promover </w:t>
      </w:r>
      <w:r w:rsidR="0091188F">
        <w:rPr>
          <w:lang w:val="es"/>
        </w:rPr>
        <w:t>la adherencia</w:t>
      </w:r>
      <w:r>
        <w:rPr>
          <w:lang w:val="es"/>
        </w:rPr>
        <w:t xml:space="preserve">, me interesa averiguar cómo puede ayudar la tecnología a promover el cumplimiento del tratamiento. La sesión del miércoles titulada "Herramientas esenciales para mejorar </w:t>
      </w:r>
      <w:r w:rsidR="0091188F">
        <w:rPr>
          <w:lang w:val="es"/>
        </w:rPr>
        <w:t>la adherencia</w:t>
      </w:r>
      <w:r>
        <w:rPr>
          <w:lang w:val="es"/>
        </w:rPr>
        <w:t xml:space="preserve"> </w:t>
      </w:r>
      <w:r w:rsidR="0091188F">
        <w:rPr>
          <w:lang w:val="es"/>
        </w:rPr>
        <w:t xml:space="preserve">a </w:t>
      </w:r>
      <w:r>
        <w:rPr>
          <w:lang w:val="es"/>
        </w:rPr>
        <w:t>los tratamientos por parte de los pacientes" ofrece un estudio de:</w:t>
      </w:r>
    </w:p>
    <w:p w:rsidR="00AB7530" w:rsidRPr="0091188F" w:rsidRDefault="00AB7530" w:rsidP="00AB7530">
      <w:pPr>
        <w:spacing w:before="16" w:line="240" w:lineRule="exact"/>
        <w:rPr>
          <w:sz w:val="24"/>
          <w:szCs w:val="24"/>
          <w:lang w:val="es-ES"/>
        </w:rPr>
      </w:pPr>
    </w:p>
    <w:p w:rsidR="00AB7530" w:rsidRPr="0091188F" w:rsidRDefault="00AB7530" w:rsidP="00AB7530">
      <w:pPr>
        <w:pStyle w:val="BodyText"/>
        <w:numPr>
          <w:ilvl w:val="0"/>
          <w:numId w:val="1"/>
        </w:numPr>
        <w:tabs>
          <w:tab w:val="left" w:pos="353"/>
        </w:tabs>
        <w:ind w:left="353"/>
        <w:rPr>
          <w:lang w:val="es-ES"/>
        </w:rPr>
      </w:pPr>
      <w:r>
        <w:rPr>
          <w:lang w:val="es"/>
        </w:rPr>
        <w:t xml:space="preserve">Un programa de Zimbabue para </w:t>
      </w:r>
      <w:r w:rsidR="0091188F">
        <w:rPr>
          <w:lang w:val="es"/>
        </w:rPr>
        <w:t>la adherencia</w:t>
      </w:r>
      <w:r>
        <w:rPr>
          <w:lang w:val="es"/>
        </w:rPr>
        <w:t xml:space="preserve"> </w:t>
      </w:r>
      <w:r w:rsidR="0091188F">
        <w:rPr>
          <w:lang w:val="es"/>
        </w:rPr>
        <w:t xml:space="preserve">al </w:t>
      </w:r>
      <w:r>
        <w:rPr>
          <w:lang w:val="es"/>
        </w:rPr>
        <w:t>tratamiento de VIH</w:t>
      </w:r>
    </w:p>
    <w:p w:rsidR="00AB7530" w:rsidRPr="0091188F" w:rsidRDefault="00AB7530" w:rsidP="00AB7530">
      <w:pPr>
        <w:pStyle w:val="BodyText"/>
        <w:numPr>
          <w:ilvl w:val="0"/>
          <w:numId w:val="1"/>
        </w:numPr>
        <w:tabs>
          <w:tab w:val="left" w:pos="353"/>
        </w:tabs>
        <w:spacing w:line="290" w:lineRule="exact"/>
        <w:ind w:left="353"/>
        <w:rPr>
          <w:lang w:val="es-ES"/>
        </w:rPr>
      </w:pPr>
      <w:r>
        <w:rPr>
          <w:lang w:val="es"/>
        </w:rPr>
        <w:t xml:space="preserve">Un dispositivo basado en papel que se utiliza en Estados Unidos para vigilar </w:t>
      </w:r>
      <w:r w:rsidR="0091188F">
        <w:rPr>
          <w:lang w:val="es"/>
        </w:rPr>
        <w:t>la adherencia</w:t>
      </w:r>
      <w:r>
        <w:rPr>
          <w:lang w:val="es"/>
        </w:rPr>
        <w:t xml:space="preserve"> </w:t>
      </w:r>
      <w:r w:rsidR="0091188F">
        <w:rPr>
          <w:lang w:val="es"/>
        </w:rPr>
        <w:t xml:space="preserve">a los </w:t>
      </w:r>
      <w:r>
        <w:rPr>
          <w:lang w:val="es"/>
        </w:rPr>
        <w:t xml:space="preserve">tratamientos </w:t>
      </w:r>
      <w:r w:rsidR="0091188F">
        <w:rPr>
          <w:lang w:val="es"/>
        </w:rPr>
        <w:t>anticoagulantes</w:t>
      </w:r>
    </w:p>
    <w:p w:rsidR="00AB7530" w:rsidRPr="0091188F" w:rsidRDefault="00AB7530" w:rsidP="00AB7530">
      <w:pPr>
        <w:pStyle w:val="BodyText"/>
        <w:numPr>
          <w:ilvl w:val="0"/>
          <w:numId w:val="1"/>
        </w:numPr>
        <w:tabs>
          <w:tab w:val="left" w:pos="353"/>
        </w:tabs>
        <w:spacing w:line="290" w:lineRule="exact"/>
        <w:ind w:left="353"/>
        <w:rPr>
          <w:lang w:val="es-ES"/>
        </w:rPr>
      </w:pPr>
      <w:r>
        <w:rPr>
          <w:lang w:val="es"/>
        </w:rPr>
        <w:t xml:space="preserve">Un sistema electrónico utilizado en Bélgica para medir, analizar y mejorar </w:t>
      </w:r>
      <w:r w:rsidR="0091188F">
        <w:rPr>
          <w:lang w:val="es"/>
        </w:rPr>
        <w:t>la adherencia al</w:t>
      </w:r>
      <w:r>
        <w:rPr>
          <w:lang w:val="es"/>
        </w:rPr>
        <w:t xml:space="preserve"> tratamiento por parte del paciente</w:t>
      </w:r>
    </w:p>
    <w:p w:rsidR="00AB7530" w:rsidRPr="0091188F" w:rsidRDefault="00AB7530" w:rsidP="00AB7530">
      <w:pPr>
        <w:pStyle w:val="BodyText"/>
        <w:numPr>
          <w:ilvl w:val="0"/>
          <w:numId w:val="1"/>
        </w:numPr>
        <w:tabs>
          <w:tab w:val="left" w:pos="353"/>
        </w:tabs>
        <w:spacing w:line="290" w:lineRule="exact"/>
        <w:ind w:left="353"/>
        <w:rPr>
          <w:lang w:val="es-ES"/>
        </w:rPr>
      </w:pPr>
      <w:r>
        <w:rPr>
          <w:lang w:val="es"/>
        </w:rPr>
        <w:t xml:space="preserve">Sistemas de redes inalámbricas para el control </w:t>
      </w:r>
      <w:r w:rsidR="0091188F">
        <w:rPr>
          <w:lang w:val="es"/>
        </w:rPr>
        <w:t>de la adherencia a</w:t>
      </w:r>
      <w:r>
        <w:rPr>
          <w:lang w:val="es"/>
        </w:rPr>
        <w:t xml:space="preserve"> los tratamientos</w:t>
      </w:r>
    </w:p>
    <w:p w:rsidR="00AB7530" w:rsidRPr="0091188F" w:rsidRDefault="00AB7530" w:rsidP="00AB7530">
      <w:pPr>
        <w:spacing w:before="19" w:line="220" w:lineRule="exact"/>
        <w:rPr>
          <w:lang w:val="es-ES"/>
        </w:rPr>
      </w:pPr>
    </w:p>
    <w:p w:rsidR="00AB7530" w:rsidRPr="00607790" w:rsidRDefault="00AB7530" w:rsidP="00AB7530">
      <w:pPr>
        <w:pStyle w:val="BodyText"/>
        <w:ind w:right="152"/>
        <w:rPr>
          <w:lang w:val="es"/>
        </w:rPr>
      </w:pPr>
      <w:r>
        <w:rPr>
          <w:lang w:val="es"/>
        </w:rPr>
        <w:t xml:space="preserve">La tecnología está ayudando a involucrar a los pacientes, facilitando que ellos ejerzan su propio </w:t>
      </w:r>
      <w:r>
        <w:rPr>
          <w:lang w:val="es"/>
        </w:rPr>
        <w:lastRenderedPageBreak/>
        <w:t xml:space="preserve">control de la enfermedad. Si podemos facilitar que los pacientes controlen los parámetros de su enfermedad, tendrán un actitud más activa para asegurar el éxito de su tratamiento. Se están utilizando cada vez más las funciones de la tecnología móvil e inteligente para permitir dicho control. Aunque esto no se ha podido probar aún en ensayos clínicos, podría dar lugar a la reducción de la progresión de la enfermedad o, al menos, a que se identifique antes. Quizás entonces podremos ayudar a mantener a los pacientes fuera del hospital al evitar que las exacerbaciones de la enfermedad dejen de estar bajo control. Espero con interés la oportunidad de aprender más acerca de las posibles aplicaciones de la tecnología inteligente y móvil en la </w:t>
      </w:r>
      <w:r w:rsidR="0091188F">
        <w:rPr>
          <w:lang w:val="es"/>
        </w:rPr>
        <w:t xml:space="preserve">sesión </w:t>
      </w:r>
      <w:r>
        <w:rPr>
          <w:lang w:val="es"/>
        </w:rPr>
        <w:t>"Salud electrónica, salud móvil y salud inteligente: ¿Nuestra salud?".</w:t>
      </w:r>
    </w:p>
    <w:p w:rsidR="00AB7530" w:rsidRPr="00607790" w:rsidRDefault="00AB7530" w:rsidP="00AB7530">
      <w:pPr>
        <w:pStyle w:val="Heading1"/>
        <w:rPr>
          <w:lang w:val="es"/>
        </w:rPr>
      </w:pPr>
    </w:p>
    <w:p w:rsidR="00AB7530" w:rsidRPr="0091188F" w:rsidRDefault="00AB7530" w:rsidP="00AB7530">
      <w:pPr>
        <w:pStyle w:val="Heading1"/>
        <w:rPr>
          <w:lang w:val="es-ES"/>
        </w:rPr>
      </w:pPr>
      <w:r>
        <w:rPr>
          <w:lang w:val="es"/>
        </w:rPr>
        <w:t>Las redes sociales, los residuos y más</w:t>
      </w:r>
    </w:p>
    <w:p w:rsidR="00AB7530" w:rsidRPr="0091188F" w:rsidRDefault="00AB7530" w:rsidP="00AB7530">
      <w:pPr>
        <w:pStyle w:val="BodyText"/>
        <w:spacing w:before="4"/>
        <w:ind w:right="162"/>
        <w:rPr>
          <w:lang w:val="es-ES"/>
        </w:rPr>
      </w:pPr>
      <w:r>
        <w:rPr>
          <w:lang w:val="es"/>
        </w:rPr>
        <w:t xml:space="preserve">Aprovechando que estamos tocando el tema de la tecnología móvil y los teléfonos inteligentes, las redes sociales se están convirtiendo cada vez más en una importante herramienta profesional para hacer llegar mensajes a los pacientes y para la </w:t>
      </w:r>
      <w:proofErr w:type="spellStart"/>
      <w:r>
        <w:rPr>
          <w:lang w:val="es"/>
        </w:rPr>
        <w:t>autocomercialización</w:t>
      </w:r>
      <w:proofErr w:type="spellEnd"/>
      <w:r>
        <w:rPr>
          <w:lang w:val="es"/>
        </w:rPr>
        <w:t xml:space="preserve"> (o por lo menos eso es lo que me dicen nuestros jóvenes expertos en tecnología). Dada mi edad avanzada, los jóvenes alumnos de los cursos de licenciatura en farmacia de hoy en día parecen estar mucho más en contacto con el uso de las redes sociales. La sesión del lunes ("El farmacéutico está en línea: redes sociales para principiantes") podría ayudarme a superar la brecha tecnológica a la que yo me enfrento.</w:t>
      </w:r>
    </w:p>
    <w:p w:rsidR="00AB7530" w:rsidRPr="0091188F" w:rsidRDefault="00AB7530" w:rsidP="00AB7530">
      <w:pPr>
        <w:spacing w:before="13" w:line="240" w:lineRule="exact"/>
        <w:rPr>
          <w:sz w:val="24"/>
          <w:szCs w:val="24"/>
          <w:lang w:val="es-ES"/>
        </w:rPr>
      </w:pPr>
    </w:p>
    <w:p w:rsidR="00AB7530" w:rsidRPr="0091188F" w:rsidRDefault="00AB7530" w:rsidP="00AB7530">
      <w:pPr>
        <w:pStyle w:val="BodyText"/>
        <w:ind w:right="193"/>
        <w:rPr>
          <w:lang w:val="es-ES"/>
        </w:rPr>
      </w:pPr>
      <w:r>
        <w:rPr>
          <w:lang w:val="es"/>
        </w:rPr>
        <w:t>Si, como yo, usted siente una frustración constante por la cantidad de residuos de medicamentos que se generan, la sesión sobre "La lucha contra los residuos de medicamentos en los sistemas de atención sanitaria" promete ser una buena manera de pasar la mañana del martes. Me intriga el método de Colombia para el reciclaje de medicamentos y las perspectivas del paciente británico sobre la reutilización de los medicamentos que han sido devueltos (sin usar) a una farmacia. Tal vez esto pueda cambiar nuestros planteamientos sobre cómo hacer el mejor uso de estos medicamentos.</w:t>
      </w:r>
    </w:p>
    <w:p w:rsidR="00AB7530" w:rsidRPr="0091188F" w:rsidRDefault="00AB7530" w:rsidP="00AB7530">
      <w:pPr>
        <w:spacing w:before="14" w:line="240" w:lineRule="exact"/>
        <w:rPr>
          <w:sz w:val="24"/>
          <w:szCs w:val="24"/>
          <w:lang w:val="es-ES"/>
        </w:rPr>
      </w:pPr>
    </w:p>
    <w:p w:rsidR="00AB7530" w:rsidRPr="0091188F" w:rsidRDefault="00AB7530" w:rsidP="00AB7530">
      <w:pPr>
        <w:pStyle w:val="BodyText"/>
        <w:spacing w:line="239" w:lineRule="auto"/>
        <w:ind w:right="17"/>
        <w:rPr>
          <w:lang w:val="es-ES"/>
        </w:rPr>
      </w:pPr>
      <w:r>
        <w:rPr>
          <w:lang w:val="es"/>
        </w:rPr>
        <w:t xml:space="preserve">Y si, como yo, es usted un profesional farmacéutico que se esfuerza por encontrar tiempo para documentar realmente su evolución profesional continua, entonces le interesará tal vez la sesión sobre la Iniciativa Educativa de la FIP y las nuevas herramientas didácticas en desarrollo. Agradezco también la oportunidad de saber más acerca de los medios informáticos de aprendizaje y la Red de Desarrollo de Educación Farmacéutica Mundial de la FIP, así como averiguar cómo participar en los futuros planes de </w:t>
      </w:r>
      <w:proofErr w:type="spellStart"/>
      <w:r>
        <w:rPr>
          <w:lang w:val="es"/>
        </w:rPr>
        <w:t>FIP</w:t>
      </w:r>
      <w:r>
        <w:rPr>
          <w:i/>
          <w:iCs/>
          <w:lang w:val="es"/>
        </w:rPr>
        <w:t>Ed</w:t>
      </w:r>
      <w:proofErr w:type="spellEnd"/>
      <w:r>
        <w:rPr>
          <w:lang w:val="es"/>
        </w:rPr>
        <w:t>.</w:t>
      </w:r>
    </w:p>
    <w:p w:rsidR="00AB7530" w:rsidRPr="0091188F" w:rsidRDefault="00AB7530" w:rsidP="00AB7530">
      <w:pPr>
        <w:spacing w:before="13" w:line="240" w:lineRule="exact"/>
        <w:rPr>
          <w:sz w:val="24"/>
          <w:szCs w:val="24"/>
          <w:lang w:val="es-ES"/>
        </w:rPr>
      </w:pPr>
    </w:p>
    <w:p w:rsidR="00AB7530" w:rsidRPr="00607790" w:rsidRDefault="00AB7530" w:rsidP="00AB7530">
      <w:pPr>
        <w:pStyle w:val="BodyText"/>
        <w:ind w:right="484"/>
        <w:rPr>
          <w:lang w:val="es"/>
        </w:rPr>
      </w:pPr>
      <w:r>
        <w:rPr>
          <w:lang w:val="es"/>
        </w:rPr>
        <w:t xml:space="preserve">Para algo un poco diferente, la sesión del miércoles sobre la práctica de la farmacia de emergencia, ofrece un estudio sobre la farmacia militar y los retos que afronta en términos de legislación y reglamentos. ¿Podría esto ofrecer inspiración para un cambio de carrera? Además, la clase magistral sobre la capacitación en materia de </w:t>
      </w:r>
      <w:r w:rsidR="002649ED">
        <w:rPr>
          <w:lang w:val="es"/>
        </w:rPr>
        <w:t xml:space="preserve">vacunación </w:t>
      </w:r>
      <w:r>
        <w:rPr>
          <w:lang w:val="es"/>
        </w:rPr>
        <w:t>puede resultar beneficiosa cuando llegue la próxima temporada de gripe y el equipo de salud laboral de mi hospital luche, una vez más, por conseguir la vacunación del personal local. Y si bien gran parte de</w:t>
      </w:r>
      <w:r w:rsidR="002649ED">
        <w:rPr>
          <w:lang w:val="es"/>
        </w:rPr>
        <w:t xml:space="preserve">l congreso </w:t>
      </w:r>
      <w:r>
        <w:rPr>
          <w:lang w:val="es"/>
        </w:rPr>
        <w:t>se centra en el desarrollo futuro de la profesión, "Historias de nuestros antepasados farmacéuticos" ofrece una visión única del pasado para los que tengan un gran interés en la evolución histórica de la profesión.</w:t>
      </w:r>
    </w:p>
    <w:p w:rsidR="00AB7530" w:rsidRPr="00607790" w:rsidRDefault="00AB7530" w:rsidP="00AB7530">
      <w:pPr>
        <w:spacing w:before="13" w:line="240" w:lineRule="exact"/>
        <w:rPr>
          <w:sz w:val="24"/>
          <w:szCs w:val="24"/>
          <w:lang w:val="es"/>
        </w:rPr>
      </w:pPr>
    </w:p>
    <w:p w:rsidR="00AB7530" w:rsidRPr="0091188F" w:rsidRDefault="00AB7530" w:rsidP="00AB7530">
      <w:pPr>
        <w:pStyle w:val="BodyText"/>
        <w:ind w:right="162"/>
        <w:rPr>
          <w:lang w:val="es-ES"/>
        </w:rPr>
      </w:pPr>
      <w:r>
        <w:rPr>
          <w:lang w:val="es"/>
        </w:rPr>
        <w:t>Por último, cuando llegue la mañana del jueves, espero con interés poner mis nuevos conocimientos en práctica. La sesión llamada "Atención farmacéutica basada en las necesidades del paciente" ofrece cuatro escenarios de juegos de rol en los que interviene la interacción entre el farmacéutico y el paciente. ¡Suena divertido!</w:t>
      </w:r>
    </w:p>
    <w:p w:rsidR="00AB7530" w:rsidRPr="0091188F" w:rsidRDefault="00AB7530" w:rsidP="00AB7530">
      <w:pPr>
        <w:spacing w:before="11" w:line="240" w:lineRule="exact"/>
        <w:rPr>
          <w:sz w:val="24"/>
          <w:szCs w:val="24"/>
          <w:lang w:val="es-ES"/>
        </w:rPr>
      </w:pPr>
    </w:p>
    <w:p w:rsidR="00F274E8" w:rsidRPr="0091188F" w:rsidRDefault="00AB7530" w:rsidP="00AB7530">
      <w:pPr>
        <w:pStyle w:val="BodyText"/>
        <w:ind w:right="150"/>
        <w:rPr>
          <w:lang w:val="es-ES"/>
        </w:rPr>
      </w:pPr>
      <w:r>
        <w:rPr>
          <w:lang w:val="es"/>
        </w:rPr>
        <w:t>Y para aquellos que todavía necesiten entretenimiento una vez que se cierre el programa de la conferencia, las clases de tango en La Viruta son muy recomendadas por los bonaerenses. Y para aquellos que deseen tener un par de sellos más en el pasaporte, un viaje en barco rápido a la Colonia del Sacramento les llevará más o menos una hora y así podrán incluir Uruguay en su lista de países visitados.</w:t>
      </w:r>
    </w:p>
    <w:sectPr w:rsidR="00F274E8" w:rsidRPr="0091188F">
      <w:headerReference w:type="even" r:id="rId7"/>
      <w:headerReference w:type="default" r:id="rId8"/>
      <w:footerReference w:type="even" r:id="rId9"/>
      <w:footerReference w:type="default" r:id="rId10"/>
      <w:headerReference w:type="first" r:id="rId11"/>
      <w:footerReference w:type="first" r:id="rId12"/>
      <w:pgSz w:w="11907" w:h="16840"/>
      <w:pgMar w:top="1040" w:right="10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D0" w:rsidRDefault="00660BD0" w:rsidP="00AB7530">
      <w:r>
        <w:separator/>
      </w:r>
    </w:p>
  </w:endnote>
  <w:endnote w:type="continuationSeparator" w:id="0">
    <w:p w:rsidR="00660BD0" w:rsidRDefault="00660BD0" w:rsidP="00AB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0" w:rsidRDefault="00AB7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0" w:rsidRDefault="00AB7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0" w:rsidRDefault="00AB7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D0" w:rsidRDefault="00660BD0" w:rsidP="00AB7530">
      <w:r>
        <w:separator/>
      </w:r>
    </w:p>
  </w:footnote>
  <w:footnote w:type="continuationSeparator" w:id="0">
    <w:p w:rsidR="00660BD0" w:rsidRDefault="00660BD0" w:rsidP="00AB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0" w:rsidRDefault="00AB7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0" w:rsidRDefault="00AB7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0" w:rsidRDefault="00AB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3F2B"/>
    <w:multiLevelType w:val="hybridMultilevel"/>
    <w:tmpl w:val="4ED8259E"/>
    <w:lvl w:ilvl="0" w:tplc="7B308376">
      <w:start w:val="1"/>
      <w:numFmt w:val="bullet"/>
      <w:lvlText w:val="•"/>
      <w:lvlJc w:val="left"/>
      <w:pPr>
        <w:ind w:hanging="241"/>
      </w:pPr>
      <w:rPr>
        <w:rFonts w:ascii="Helvetica" w:eastAsia="Helvetica" w:hAnsi="Helvetica" w:hint="default"/>
        <w:w w:val="99"/>
        <w:sz w:val="26"/>
        <w:szCs w:val="26"/>
      </w:rPr>
    </w:lvl>
    <w:lvl w:ilvl="1" w:tplc="E8083F54">
      <w:start w:val="1"/>
      <w:numFmt w:val="bullet"/>
      <w:lvlText w:val="•"/>
      <w:lvlJc w:val="left"/>
      <w:rPr>
        <w:rFonts w:hint="default"/>
      </w:rPr>
    </w:lvl>
    <w:lvl w:ilvl="2" w:tplc="DB446316">
      <w:start w:val="1"/>
      <w:numFmt w:val="bullet"/>
      <w:lvlText w:val="•"/>
      <w:lvlJc w:val="left"/>
      <w:rPr>
        <w:rFonts w:hint="default"/>
      </w:rPr>
    </w:lvl>
    <w:lvl w:ilvl="3" w:tplc="B40E2194">
      <w:start w:val="1"/>
      <w:numFmt w:val="bullet"/>
      <w:lvlText w:val="•"/>
      <w:lvlJc w:val="left"/>
      <w:rPr>
        <w:rFonts w:hint="default"/>
      </w:rPr>
    </w:lvl>
    <w:lvl w:ilvl="4" w:tplc="8A82456C">
      <w:start w:val="1"/>
      <w:numFmt w:val="bullet"/>
      <w:lvlText w:val="•"/>
      <w:lvlJc w:val="left"/>
      <w:rPr>
        <w:rFonts w:hint="default"/>
      </w:rPr>
    </w:lvl>
    <w:lvl w:ilvl="5" w:tplc="AF328292">
      <w:start w:val="1"/>
      <w:numFmt w:val="bullet"/>
      <w:lvlText w:val="•"/>
      <w:lvlJc w:val="left"/>
      <w:rPr>
        <w:rFonts w:hint="default"/>
      </w:rPr>
    </w:lvl>
    <w:lvl w:ilvl="6" w:tplc="C30A0AF2">
      <w:start w:val="1"/>
      <w:numFmt w:val="bullet"/>
      <w:lvlText w:val="•"/>
      <w:lvlJc w:val="left"/>
      <w:rPr>
        <w:rFonts w:hint="default"/>
      </w:rPr>
    </w:lvl>
    <w:lvl w:ilvl="7" w:tplc="2E4472F2">
      <w:start w:val="1"/>
      <w:numFmt w:val="bullet"/>
      <w:lvlText w:val="•"/>
      <w:lvlJc w:val="left"/>
      <w:rPr>
        <w:rFonts w:hint="default"/>
      </w:rPr>
    </w:lvl>
    <w:lvl w:ilvl="8" w:tplc="43E88B6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274E8"/>
    <w:rsid w:val="002649ED"/>
    <w:rsid w:val="00507011"/>
    <w:rsid w:val="00607790"/>
    <w:rsid w:val="00660BD0"/>
    <w:rsid w:val="0091188F"/>
    <w:rsid w:val="00AB7530"/>
    <w:rsid w:val="00D32188"/>
    <w:rsid w:val="00DA25EF"/>
    <w:rsid w:val="00F27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04FD-2A08-4C29-B595-71340972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530"/>
    <w:pPr>
      <w:tabs>
        <w:tab w:val="center" w:pos="4252"/>
        <w:tab w:val="right" w:pos="8504"/>
      </w:tabs>
    </w:pPr>
  </w:style>
  <w:style w:type="character" w:customStyle="1" w:styleId="HeaderChar">
    <w:name w:val="Header Char"/>
    <w:basedOn w:val="DefaultParagraphFont"/>
    <w:link w:val="Header"/>
    <w:uiPriority w:val="99"/>
    <w:rsid w:val="00AB7530"/>
  </w:style>
  <w:style w:type="paragraph" w:styleId="Footer">
    <w:name w:val="footer"/>
    <w:basedOn w:val="Normal"/>
    <w:link w:val="FooterChar"/>
    <w:uiPriority w:val="99"/>
    <w:unhideWhenUsed/>
    <w:rsid w:val="00AB7530"/>
    <w:pPr>
      <w:tabs>
        <w:tab w:val="center" w:pos="4252"/>
        <w:tab w:val="right" w:pos="8504"/>
      </w:tabs>
    </w:pPr>
  </w:style>
  <w:style w:type="character" w:customStyle="1" w:styleId="FooterChar">
    <w:name w:val="Footer Char"/>
    <w:basedOn w:val="DefaultParagraphFont"/>
    <w:link w:val="Footer"/>
    <w:uiPriority w:val="99"/>
    <w:rsid w:val="00AB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1181</Words>
  <Characters>6736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TRADECOM, S.A.</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Lin-Nam Wang</dc:creator>
  <dc:description>Translated by DBF Communicatie B.V.
+31 (0)172 469191
dbf@dbfcom.com / www.dbfcom.com</dc:description>
  <cp:lastModifiedBy>Goncalo Sousa Pinto</cp:lastModifiedBy>
  <cp:revision>6</cp:revision>
  <dcterms:created xsi:type="dcterms:W3CDTF">2016-03-30T13:49:00Z</dcterms:created>
  <dcterms:modified xsi:type="dcterms:W3CDTF">2016-04-04T11:54:00Z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2016-03-30T00:00:00Z</vt:filetime>
  </property>
</Properties>
</file>